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left w:val="none"/>
          <w:bottom w:val="none"/>
          <w:right w:val="none"/>
          <w:insideH w:val="none"/>
          <w:insideV w:val="none"/>
        </w:tblBorders>
      </w:tblPr>
      <w:tblGrid>
        <w:gridCol w:w="100"/>
      </w:tblGrid>
      <w:tr>
        <w:trPr>
          <w:cantSplit/>
        </w:trPr>
        <w:tc>
          <w:tcPr>
            <w:tcW w:type="pct" w:w="100%"/>
            <w:tcBorders>
              <w:top w:val="none" w:color="FFFFFF" w:sz="0"/>
              <w:left w:val="none" w:color="FFFFFF" w:sz="0"/>
              <w:bottom w:val="none" w:color="FFFFFF" w:sz="0"/>
              <w:right w:val="none" w:color="FFFFFF" w:sz="0"/>
            </w:tcBorders>
            <w:tcMar>
              <w:top w:type="dxa" w:w="100"/>
              <w:left w:type="dxa" w:w="0"/>
              <w:bottom w:type="dxa" w:w="100"/>
              <w:right w:type="dxa" w:w="0"/>
            </w:tcMar>
          </w:tcPr>
          <w:p>
            <w:pPr>
              <w:spacing w:after="0" w:before="0" w:line="360" w:lineRule="auto"/>
              <w:jc w:val="center"/>
            </w:pPr>
            <w:r>
              <w:rPr>
                <w:rFonts w:ascii="Times New Roman" w:cs="Times New Roman" w:eastAsia="Times New Roman" w:hAnsi="Times New Roman"/>
                <w:color w:val="000000"/>
                <w:sz w:val="28"/>
                <w:szCs w:val="28"/>
              </w:rPr>
              <w:t xml:space="preserve">ОБЩЕСТВО С ОГРАНИЧЕННОЙ ОТВЕТСТВЕННОСТЬЮ</w:t>
            </w:r>
          </w:p>
          <w:p>
            <w:pPr>
              <w:spacing w:after="0" w:before="0" w:line="360" w:lineRule="auto"/>
              <w:jc w:val="center"/>
            </w:pPr>
            <w:r>
              <w:rPr>
                <w:rFonts w:ascii="Times New Roman" w:cs="Times New Roman" w:eastAsia="Times New Roman" w:hAnsi="Times New Roman"/>
                <w:color w:val="000000"/>
                <w:sz w:val="28"/>
                <w:szCs w:val="28"/>
              </w:rPr>
              <w:t xml:space="preserve">«НАИМЕНОВАНИЕ ОРГАНИЗАЦИИ»</w:t>
            </w:r>
          </w:p>
        </w:tc>
      </w:tr>
      <w:tr>
        <w:trPr>
          <w:cantSplit/>
          <w:trHeight w:val="11000" w:hRule="atLeast"/>
        </w:trPr>
        <w:tc>
          <w:tcPr>
            <w:tcW w:type="pct" w:w="1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line="276" w:lineRule="auto"/>
            </w:pPr>
            <w:r>
              <w:rPr>
                <w:rFonts w:ascii="Times New Roman" w:cs="Times New Roman" w:eastAsia="Times New Roman" w:hAnsi="Times New Roman"/>
                <w:b w:val="false"/>
                <w:bCs w:val="false"/>
                <w:i w:val="false"/>
                <w:iCs w:val="false"/>
                <w:color w:val="000000"/>
                <w:sz w:val="24"/>
                <w:szCs w:val="24"/>
              </w:rPr>
              <w:t xml:space="preserve"/>
            </w:r>
          </w:p>
          <w:p>
            <w:pPr>
              <w:spacing w:line="276" w:lineRule="auto"/>
            </w:pPr>
            <w:r>
              <w:rPr>
                <w:rFonts w:ascii="Times New Roman" w:cs="Times New Roman" w:eastAsia="Times New Roman" w:hAnsi="Times New Roman"/>
                <w:b w:val="false"/>
                <w:bCs w:val="false"/>
                <w:i w:val="false"/>
                <w:iCs w:val="false"/>
                <w:color w:val="000000"/>
                <w:sz w:val="24"/>
                <w:szCs w:val="24"/>
              </w:rPr>
              <w:t xml:space="preserve"/>
            </w:r>
          </w:p>
          <w:p>
            <w:pPr>
              <w:spacing w:after="0" w:before="0" w:line="480" w:lineRule="atLeast"/>
              <w:jc w:val="center"/>
            </w:pPr>
            <w:r>
              <w:rPr>
                <w:rFonts w:ascii="Times New Roman" w:cs="Times New Roman" w:eastAsia="Times New Roman" w:hAnsi="Times New Roman"/>
                <w:b/>
                <w:bCs/>
                <w:color w:val="000000"/>
                <w:sz w:val="32"/>
                <w:szCs w:val="32"/>
              </w:rPr>
              <w:t xml:space="preserve">ПОЛОЖЕНИЕ</w:t>
            </w:r>
          </w:p>
          <w:p>
            <w:pPr>
              <w:spacing w:after="0" w:before="0" w:line="480" w:lineRule="atLeast"/>
              <w:jc w:val="center"/>
            </w:pPr>
            <w:r>
              <w:rPr>
                <w:rFonts w:ascii="Times New Roman" w:cs="Times New Roman" w:eastAsia="Times New Roman" w:hAnsi="Times New Roman"/>
                <w:b/>
                <w:bCs/>
                <w:color w:val="000000"/>
                <w:sz w:val="32"/>
                <w:szCs w:val="32"/>
              </w:rPr>
              <w:t xml:space="preserve">О СИСТЕМЕ УПРАВЛЕНИЯ ОХРАНОЙ ТРУДА</w:t>
            </w:r>
          </w:p>
          <w:p>
            <w:pPr>
              <w:spacing w:after="0" w:before="240" w:line="360" w:lineRule="auto"/>
              <w:jc w:val="center"/>
            </w:pPr>
            <w:r>
              <w:rPr>
                <w:rFonts w:ascii="Times New Roman" w:cs="Times New Roman" w:eastAsia="Times New Roman" w:hAnsi="Times New Roman"/>
                <w:color w:val="000000"/>
                <w:sz w:val="28"/>
                <w:szCs w:val="28"/>
              </w:rPr>
              <w:t xml:space="preserve">(Строительная компания)</w:t>
            </w:r>
          </w:p>
        </w:tc>
      </w:tr>
      <w:tr>
        <w:trPr>
          <w:cantSplit/>
        </w:trPr>
        <w:tc>
          <w:tcPr>
            <w:tcW w:type="pct" w:w="100%"/>
            <w:tcBorders>
              <w:top w:val="none" w:color="FFFFFF" w:sz="0"/>
              <w:left w:val="none" w:color="FFFFFF" w:sz="0"/>
              <w:bottom w:val="none" w:color="FFFFFF" w:sz="0"/>
              <w:right w:val="none" w:color="FFFFFF" w:sz="0"/>
            </w:tcBorders>
            <w:tcMar>
              <w:top w:type="dxa" w:w="0"/>
              <w:left w:type="dxa" w:w="0"/>
              <w:bottom w:type="dxa" w:w="200"/>
              <w:right w:type="dxa" w:w="0"/>
            </w:tcMar>
            <w:vAlign w:val="bottom"/>
          </w:tcPr>
          <w:p>
            <w:pPr>
              <w:spacing w:line="276" w:lineRule="auto"/>
            </w:pPr>
            <w:r>
              <w:rPr>
                <w:rFonts w:ascii="Times New Roman" w:cs="Times New Roman" w:eastAsia="Times New Roman" w:hAnsi="Times New Roman"/>
                <w:b w:val="false"/>
                <w:bCs w:val="false"/>
                <w:i w:val="false"/>
                <w:iCs w:val="false"/>
                <w:color w:val="000000"/>
                <w:sz w:val="24"/>
                <w:szCs w:val="24"/>
              </w:rPr>
              <w:t xml:space="preserve"/>
            </w:r>
          </w:p>
          <w:p>
            <w:pPr>
              <w:spacing w:after="0" w:before="0" w:line="360" w:lineRule="auto"/>
              <w:jc w:val="center"/>
            </w:pPr>
            <w:r>
              <w:rPr>
                <w:rFonts w:ascii="Times New Roman" w:cs="Times New Roman" w:eastAsia="Times New Roman" w:hAnsi="Times New Roman"/>
                <w:color w:val="000000"/>
                <w:sz w:val="28"/>
                <w:szCs w:val="28"/>
              </w:rPr>
              <w:t xml:space="preserve">г. ____________</w:t>
            </w:r>
          </w:p>
          <w:p>
            <w:pPr>
              <w:spacing w:after="0" w:before="0" w:line="360" w:lineRule="auto"/>
              <w:jc w:val="center"/>
            </w:pPr>
            <w:r>
              <w:rPr>
                <w:rFonts w:ascii="Times New Roman" w:cs="Times New Roman" w:eastAsia="Times New Roman" w:hAnsi="Times New Roman"/>
                <w:color w:val="000000"/>
                <w:sz w:val="28"/>
                <w:szCs w:val="28"/>
              </w:rPr>
              <w:t xml:space="preserve">20___ г.</w:t>
            </w:r>
          </w:p>
        </w:tc>
      </w:tr>
    </w:tbl>
    <w:p>
      <w:pPr>
        <w:sectPr>
          <w:pgSz w:w="11906" w:h="16838" w:orient="portrait"/>
          <w:pgMar w:top="1134" w:right="850" w:bottom="1134" w:left="1701" w:header="708" w:footer="708" w:gutter="0"/>
          <w:pgNumType/>
          <w:docGrid w:linePitch="360"/>
        </w:sectPr>
      </w:pPr>
    </w:p>
    <w:p>
      <w:pPr>
        <w:spacing w:after="0" w:before="360" w:line="276" w:lineRule="auto"/>
        <w:jc w:val="center"/>
      </w:pPr>
      <w:r>
        <w:rPr>
          <w:rFonts w:ascii="Times New Roman" w:cs="Times New Roman" w:eastAsia="Times New Roman" w:hAnsi="Times New Roman"/>
          <w:b/>
          <w:bCs/>
          <w:color w:val="000000"/>
          <w:sz w:val="28"/>
          <w:szCs w:val="28"/>
        </w:rPr>
        <w:t xml:space="preserve">1. ОБЩИЕ ПОЛОЖЕНИЯ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1.1. Настоящее Положение о системе управления охраной труда (далее - Положение о СУОТ) разработано в соответствии с Трудовым кодексом Российской Федерации, Федеральным законом от 28.12.2013 № 426-ФЗ «О специальной оценке условий труда», Приказом Минтруда России от 29.10.2021 № 776н «Об утверждении Примерного положения о системе управления охраной труда», Постановлением Правительства Российской Федерации от 24.12.2021 № 2464 «О порядке обучения по охране труда и проверки знания требований охраны труда», Приказом Минтруда России от 29.10.2021 № 766н «Об утверждении Правил обеспечения работников средствами индивидуальной защиты и смывающими средствами», Приказом Минтруда России от 29.10.2021 № 767н «Об утверждении Единых типовых норм выдачи средств индивидуальной защиты и смывающих средств», Приказом Минтруда России от 21.11.2023 № 817н «Об утверждении Методики проведения специальной оценки условий труда», ГОСТ Р 12.0.007-2009, СанПиН 1.2.3685-21, Приказом Минтруда России от 16.11.2020 № 782н «Об утверждении Правил по охране труда при работе на высоте», Приказом Минтруда России от 11.12.2020 № 883н «Об утверждении Правил по охране труда при строительстве, реконструкции и ремонте», Приказом Минтруда России от 28.10.2020 № 753н «Об утверждении Правил по охране труда при погрузочно-разгрузочных работах и размещении грузов», Приказом Минтруда России от 15.12.2020 № 902н «Об утверждении Правил по охране труда при работе в ограниченных и замкнутых пространствах», Приказом Минтруда России от 27.11.2020 № 835н «Об утверждении Правил по охране труда при работе с инструментом и приспособлениями».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1.2. Положение о СУОТ устанавливает общие требования к организации работы по охране труда, распределению обязанностей, порядку планирования и реализации мероприятий, направленных на обеспечение безопасных условий труда, сохранение жизни и здоровья работников в процессе их трудовой деятельности.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 Действие СУОТ распространяется на всю территорию ООО «НАИМЕНОВАНИЕ ОРГАНИЗАЦИИ» (далее - Организация), включая все производственные, административные, технические и вспомогательные помещения, а также на всех работников Организации, в том числе на работников, выполняющих работу удалённо (дистанционный труд), в части, касающейся обеспечения безопасности при работе с оборудованием, предоставленным работодателем, и соблюдения режимов труда и отдыха, предусмотренных трудовым договором, и на работников подрядных организаций, допущенных к выполнению работ на территории Организации.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1.4. Требования настоящего Положения обязательны для всех работников Организации, включая руководителей, специалистов, технический и административно-хозяйственный персонал.</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1.5. В Организации создана служба охраны труда (введена должность специалиста по охране труда) в соответствии со статьёй 217 Трудового кодекса Российской Федерации. На специалиста по охране труда возлагаются обязанности по организации работы по обеспечению выполнения требований охраны труда, контролю за соблюдением работниками требований охраны труда, оказанию методической помощи руководителям структурных подразделений в разработке инструкций по охране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1.6. Основной целью внедрения СУОТ является профилактика несчастных случаев на производстве и профессиональных заболеваний, снижение уровня воздействия на работников вредных и (или) опасных производственных факторов, обеспечение постоянного улучшения условий и охраны труда в Организации.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1.7. СУОТ является частью общей системы управления Организацией и представляет собой единство организационной структуры, мероприятий по обеспечению безопасных условий труда, документированной информации (локальных нормативных актов, организационно-распорядительных и контрольно-учётных документов).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1.8. Положение о СУОТ пересматривается и актуализируется при изменении законодательства в области охраны труда, при изменении условий труда в Организации, по результатам расследования несчастных случаев на производстве, по предписаниям органов государственного надзора и контроля.</w:t>
      </w:r>
    </w:p>
    <w:p>
      <w:pPr>
        <w:spacing w:after="0" w:before="360" w:line="276" w:lineRule="auto"/>
        <w:jc w:val="center"/>
      </w:pPr>
      <w:r>
        <w:rPr>
          <w:rFonts w:ascii="Times New Roman" w:cs="Times New Roman" w:eastAsia="Times New Roman" w:hAnsi="Times New Roman"/>
          <w:b/>
          <w:bCs/>
          <w:color w:val="000000"/>
          <w:sz w:val="28"/>
          <w:szCs w:val="28"/>
        </w:rPr>
        <w:t xml:space="preserve">2. ПОЛИТИКА В ОБЛАСТИ ОХРАНЫ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2.1. Основными принципами политики Организации в области охраны труда являются: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приоритет жизни и здоровья работников по отношению к результатам производственной деятельности;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безопасных условий труда на каждом рабочем месте;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соблюдение государственных нормативных требований охраны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профилактика производственного травматизма и профессиональных заболеваний;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непрерывное совершенствование системы управления охраной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соответствие политики специфике деятельности Организации;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обязательства по устранению опасностей и снижению уровней профессиональных рисков на рабочих местах;</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учёт мнения выборного органа первичной профсоюзной организации или иного уполномоченного работниками органа (при наличии).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2.2. Работодатель (директор Организации) принимает на себя обязательства по выполнению требований охраны труда, установленных действующим законодательством, в порядке, регламентированном разделами 3-13 настоящего Положения.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2.3. Политика в области охраны труда доводится до сведения всех работников Организации путём размещения на информационном стенде и (или) на официальном сайте Организации, а также при проведении вводного инструктажа.</w:t>
      </w:r>
    </w:p>
    <w:p>
      <w:pPr>
        <w:spacing w:after="0" w:before="360" w:line="276" w:lineRule="auto"/>
        <w:jc w:val="center"/>
      </w:pPr>
      <w:r>
        <w:rPr>
          <w:rFonts w:ascii="Times New Roman" w:cs="Times New Roman" w:eastAsia="Times New Roman" w:hAnsi="Times New Roman"/>
          <w:b/>
          <w:bCs/>
          <w:color w:val="000000"/>
          <w:sz w:val="28"/>
          <w:szCs w:val="28"/>
        </w:rPr>
        <w:t xml:space="preserve">3. РАСПРЕДЕЛЕНИЕ ОБЯЗАННОСТЕЙ В ОБЛАСТИ ОХРАНЫ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3.1. Руководитель организации: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обеспечивает создание и функционирование СУОТ;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утверждает локальные нормативные акты по охране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организует проведение СОУТ и оценки профессиональных рисков;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обеспечивает работников СИЗ;</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организует расследование несчастных случаев;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выделяет ресурсы на мероприятия по охране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3.2. Главный инженер:</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курирует вопросы технически безопасного ведения работ;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обеспечивает исправность строительной техники, кранов, механизмов;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контролирует соблюдение технологической дисциплины на объектах;</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утверждает проекты производства работ (ППР) с разделом по ОТ;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участвует в расследовании несчастных случаев.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3.3. Специалист по охране труда (в штате или привлечённый по договору):</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разрабатывает документацию по ОТ (инструкции, программы обучения);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проводит вводный инструктаж;</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контролирует соблюдение требований ОТ на строительных объектах;</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участвует в расследовании несчастных случаев;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ведёт документацию по охране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3.4. Производитель работ (прораб):</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обеспечивает непосредственную безопасность на объекте;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проводит первичный, повторный, внеплановый и целевой инструктажи;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контролирует применение СИЗ работниками;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оформляет наряды-допуски на работы повышенной опасности;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немедленно извещает руководство о несчастных случаях.</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3.5. Работники Организации обязаны: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соблюдать требования инструкций по охране труда и правила внутреннего трудового распорядка;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правильно применять средства индивидуальной защиты;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проходить обучение по охране труда, инструктажи и проверку знаний;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немедленно извещать непосредственного руководителя или специалиста по охране труда о любой ситуации, угрожающей жизни и здоровью людей, о каждом несчастном случае, об ухудшении состояния своего здоровья;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проходить обязательные предварительные при поступлении на работу и периодические медицинские осмотры;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соблюдать требования пожарной безопасности и электробезопасности;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содержать рабочее место в чистоте и порядке.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3.6. Ответственность за нарушение требований охраны труда. За нарушение требований настоящего Положения и иных локальных нормативных актов по охране труда работники несут ответственность в порядке, установленном действующим законодательством Российской Федерации, в том числе дисциплинарную (статья 192 ТК РФ), административную (статья 5.27 КоАП РФ), уголовную (статья 143 УК РФ) и гражданско-правовую.</w:t>
      </w:r>
    </w:p>
    <w:p>
      <w:pPr>
        <w:spacing w:after="0" w:before="360" w:line="276" w:lineRule="auto"/>
        <w:jc w:val="center"/>
      </w:pPr>
      <w:r>
        <w:rPr>
          <w:rFonts w:ascii="Times New Roman" w:cs="Times New Roman" w:eastAsia="Times New Roman" w:hAnsi="Times New Roman"/>
          <w:b/>
          <w:bCs/>
          <w:color w:val="000000"/>
          <w:sz w:val="28"/>
          <w:szCs w:val="28"/>
        </w:rPr>
        <w:t xml:space="preserve">4. ПЛАНИРОВАНИЕ И РЕАЛИЗАЦИЯ МЕРОПРИЯТИЙ ПО ОХРАНЕ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4.1. Планирование мероприятий по охране труда осуществляется директором Организации на календарный год с учётом:</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результатов специальной оценки условий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результатов оценки профессиональных рисков;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предписаний органов государственного надзора и контроля;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предложений работников по улучшению условий и охраны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результатов расследования несчастных случаев на производстве и профессиональных заболеваний;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изменений в нормативных правовых актах, содержащих государственные нормативные требования охраны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4.2. Мероприятия по охране труда включают: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проведение специальной оценки условий труда (не реже 1 раза в 5 лет);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организацию и проведение оценки профессиональных рисков;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проведение обучения работников по охране труда и инструктажей;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работников средствами индивидуальной защиты;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проведение обязательных медицинских осмотров работников;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исправности и безопасности оборудования, электроустановок, систем освещения и вентиляции;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оптимальных параметров микроклимата (температура, влажность, скорость движения воздуха);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достаточного уровня освещённости рабочих мест;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эргономичных рабочих мест;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организацию санитарно-бытового обеспечения (комнаты приёма пищи, питьевая вода, гардероб);</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социального страхования работников от несчастных случаев на производстве и профессиональных заболеваний;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реагирование на аварийные ситуации и несчастные случаи;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взаимодействие с государственными надзорными органами.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4.3. План мероприятий по охране труда оформляется приложением к настоящему Положению или отдельным приказом директора Организации. В Плане указываются: наименование мероприятия; ожидаемый результат; срок реализации; ответственное лицо; выделяемые ресурсы и источник финансирования.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4.4. Ответственность за разработку и реализацию мероприятий по охране труда несёт директор Организации и руководители структурных подразделений в пределах своей компетенции.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4.5. Цели в области охраны труда. В Организации устанавливаются следующие цели в области охраны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предотвращение несчастных случаев на производстве и профессиональных заболеваний;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снижение уровня профессиональных рисков на рабочих местах;</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повышение уровня знаний работников по вопросам охраны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100 % работников средствами индивидуальной защиты в соответствии с Едиными типовыми нормами;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своевременное проведение СОУТ и медицинских осмотров.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4.6. Цели в области охраны труда пересматриваются ежегодно по результатам оценки эффективности СУОТ.</w:t>
      </w:r>
    </w:p>
    <w:p>
      <w:pPr>
        <w:spacing w:after="0" w:before="360" w:line="276" w:lineRule="auto"/>
        <w:jc w:val="center"/>
      </w:pPr>
      <w:r>
        <w:rPr>
          <w:rFonts w:ascii="Times New Roman" w:cs="Times New Roman" w:eastAsia="Times New Roman" w:hAnsi="Times New Roman"/>
          <w:b/>
          <w:bCs/>
          <w:color w:val="000000"/>
          <w:sz w:val="28"/>
          <w:szCs w:val="28"/>
        </w:rPr>
        <w:t xml:space="preserve">5. ПРОВЕДЕНИЕ СПЕЦИАЛЬНОЙ ОЦЕНКИ УСЛОВИЙ ТРУДА (СОУТ)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5.1. Специальная оценка условий труда проводится в соответствии с Федеральным законом от 28.12.2013 № 426-ФЗ «О специальной оценке условий труда» и Приказом Минтруда России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отчёта о проведении специальной оценки условий труда и инструкции по её заполнению».</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5.2. СОУТ проводится в отношении всех рабочих мест Организации, включая рабочие места за персональными компьютерами. Декларирование соответствия условий труда государственным нормативным требованиям охраны труда осуществляется в отношении рабочих мест, на которых вредные и (или) опасные производственные факторы не идентифицированы.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5.3. СОУТ проводится не реже 1 раза в 5 лет, а также во внеочередном порядке в случаях, предусмотренных статьёй 17 Федерального закона № 426-ФЗ:</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вводе в эксплуатацию вновь организованных рабочих мест;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получении предписания государственного инспектора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изменении технологического процесса, замене производственного оборудования;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изменении состава применяемых материалов и сырья;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изменении средств колективной защиты;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выявлении профессионального заболевания;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наличии мотивированных предложений профсоюза.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5.4. Для проведения СОУТ директором Организации издаётся приказ о создании комиссии по проведению СОУТ. В состав комиссии включаются представители работодателя, специалист по охране труда, представитель выборного органа первичной профсоюзной организации или иного уполномоченного работниками органа (при наличии). Возглавляет комиссию директор Организации.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5.5. СОУТ проводится специализированной организацией, включённой в реестр организаций, проводящих специальную оценку условий труда, в соответствии с Федеральным законом № 426-ФЗ.</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5.6. Результаты СОУТ оформляются отчётом о проведении СОУТ, содержащим карты специальной оценки условий труда на каждое рабочее место, сводную ведомость результатов СОУТ, перечень мероприятий по улучшению условий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5.7. Использование результатов СОУТ. Результаты СОУТ используются для: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предоставления работникам гарантий и компенсаций за работу во вредных и (или) опасных условиях труда (дополнительный отпуск, сокращённая продолжительность рабочего времени, повышенная оплата труда - при наличии классов 3.1-3.4);</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обеспечения работников средствами индивидуальной защиты;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организации обязательных медицинских осмотров;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разработки мероприятий по улучшению условий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расчёта скидок и надбавок к страховым тарифам по обязательному социальному страхованию от несчастных случаев на производстве и профессиональных заболеваний.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5.8. Работодатель обязан ознакомить работников с результатами СОУТ на их рабочих местах под подпись в течение 30 календарных дней со дня утверждения отчёта о проведении СОУТ.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5.9. Ответственность за организацию и проведение СОУТ несёт директор Организации.</w:t>
      </w:r>
    </w:p>
    <w:p>
      <w:pPr>
        <w:spacing w:after="0" w:before="360" w:line="276" w:lineRule="auto"/>
        <w:jc w:val="center"/>
      </w:pPr>
      <w:r>
        <w:rPr>
          <w:rFonts w:ascii="Times New Roman" w:cs="Times New Roman" w:eastAsia="Times New Roman" w:hAnsi="Times New Roman"/>
          <w:b/>
          <w:bCs/>
          <w:color w:val="000000"/>
          <w:sz w:val="28"/>
          <w:szCs w:val="28"/>
        </w:rPr>
        <w:t xml:space="preserve">6. УПРАВЛЕНИЕ ПРОФЕССИОНАЛЬНЫМИ РИСКАМИ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6.1. Оценка профессиональных рисков (далее - ОПР) проводится в целях выявления опасностей, угрожающих жизни и здоровью работников, и разработки мер по их снижению. Управление профессиональными рисками включает комплекс взаимосвязанных мероприятий: выявление опасностей, оценка рисков, применение мер по снижению уровней рисков, контроль и пересмотр выявленных рисков.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6.2. Перечень опасностей, идентифицированных в Организации, и мер по управлению профессиональными рисками приведён в Приложении 1 к настоящему Положению.</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6.3. Меры по управлению профессиональными рисками включают: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эргономичных рабочих мест (правильная организация рабочего места, регулируемая мебель, подставки для мониторов, ортопедические кресла - при необходимости);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соблюдение режимов труда и отдыха при работе с компьютером: перерывы 10-15 минут через каждый час работы;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достаточного уровня освещённости рабочих мест (использование местных светильников, естественного освещения);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исправности оборудования и электрооборудования; регулярное техническое обслуживание;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исправности электропроводки, наличие заземления;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проведение инструктажей по охране труда и обучение безопасным методам работы;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работников средствами индивидуальной защиты (при необходимости);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применение противоскользящих напольных покрытий;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обеспечение надлежащего хранения предметов на полках и стеллажах;</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проведение противопожарных мероприятий (наличие огнетушителей, планов эвакуации, регулярная проверка пожарной сигнализации).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6.4. ОПР проводится при первичной идентификации опасностей, при изменениях технологического процесса, оборудования, сырья, при вводе новых рабочих мест, при расследовании несчастных случаев и профессиональных заболеваний, при изменениях нормативных правовых актов.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6.5. Перечень идентифицированных опасностей и мер по управлению профессиональными рисками оформляется приложением к настоящему Положению.</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6.6. Ответственность за организацию оценки и управления профессиональными рисками несёт директор Организации. ОПР может проводиться как силами Организации, так и с привлечением независимой специализированной организации.</w:t>
      </w:r>
    </w:p>
    <w:p>
      <w:pPr>
        <w:spacing w:after="0" w:before="360" w:line="276" w:lineRule="auto"/>
        <w:jc w:val="center"/>
      </w:pPr>
      <w:r>
        <w:rPr>
          <w:rFonts w:ascii="Times New Roman" w:cs="Times New Roman" w:eastAsia="Times New Roman" w:hAnsi="Times New Roman"/>
          <w:b/>
          <w:bCs/>
          <w:color w:val="000000"/>
          <w:sz w:val="28"/>
          <w:szCs w:val="28"/>
        </w:rPr>
        <w:t xml:space="preserve">7. ОБУЧЕНИЕ РАБОТНИКОВ ПО ОХРАНЕ ТРУДА И ПРОВЕДЕНИЕ ИНСТРУКТАЖЕЙ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7.1. Обучение работников по охране труда и проверка знаний требований охраны труда осуществляются в порядке, установленном Постановлением Правительства Российской Федерации от 24.12.2021 № 2464 «О порядке обучения по охране труда и проверки знания требований охраны труда» и Приказом Минтруда России от 22.12.2021 № 1124н «Об утверждении Правил обучения по охране труда и проверки знаний требований охраны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7.2. Обучению по охране труда подлежат: работодатель (директор Организации); руководители и специалисты; специалист по охране труда; члены комиссий по проверке знаний; работники рабочих профессий; члены комитетов (комиссий) по охране труда; уполномоченные по охране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7.3. Виды инструктажей по охране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вводный инструктаж - проводится со всеми принимаемыми на работу работниками, а также с командированными, подрядными работниками, обучающимися, проходящими производственную практику. Проводит специалист по охране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первичный инструктаж на рабочем месте - проводится до начала самостоятельной работы со всеми вновь принятыми работниками, переведёнными из другого подразделения, выполняющими новую для них работу. Проводит непосредственный руководитель работ;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повторный инструктаж - проводится не реже одного раза в шесть месяцев по программе первичного инструктажа;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внеплановый инструктаж - проводится при изменении технологического процесса, замене оборудования, изменении инструкций, по требованию надзорных органов, после аварий и несчастных случаев, при перерывах в работе (более 60 дней);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целевой инструктаж - проводится при выполнении разовых работ, работ повышенной опасности, работ по наряду-допуску, ликвидации аварий.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7.4. Дополнительно к инструктажам проводится обучение по программам:</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обучение требованиям охраны труда (для категорий работников, установленных Постановлением № 2464);</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обучение оказанию первой помощи (проводится для всех работников, периодичность - не реже одного раза в 3 года);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обучение использованию средств индивидуальной защиты (проводится для работников, применяющих СИЗ).</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7.5. Проведение всех видов инструктажей фиксируется в журналах регистрации с подписями инструктируемого и инструктирующего. Формы журналов установлены Приказом Минтруда России № 1124н.</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7.6. Проверка знаний требований охраны труда проводится комиссией, формируемой распоряжением директора Организации. В состав комиссии включаются не менее трёх человек: представитель работодателя; специалист по охране труда; представитель выборного органа первичной профсоюзной организации или иного уполномоченного работниками органа (при наличии).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7.7. Ответственность за организацию и проведение инструктажей и обучения несёт директор Организации. Контроль за организацией обучения осуществляет специалист по охране труда.</w:t>
      </w:r>
    </w:p>
    <w:p>
      <w:pPr>
        <w:spacing w:after="0" w:before="360" w:line="276" w:lineRule="auto"/>
        <w:jc w:val="center"/>
      </w:pPr>
      <w:r>
        <w:rPr>
          <w:rFonts w:ascii="Times New Roman" w:cs="Times New Roman" w:eastAsia="Times New Roman" w:hAnsi="Times New Roman"/>
          <w:b/>
          <w:bCs/>
          <w:color w:val="000000"/>
          <w:sz w:val="28"/>
          <w:szCs w:val="28"/>
        </w:rPr>
        <w:t xml:space="preserve">8. ОБЕСПЕЧЕНИЕ РАБОТНИКОВ СРЕДСТВАМИ ИНДИВИДУАЛЬНОЙ ЗАЩИТЫ (СИЗ)</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8.1. Обеспечение работников средствами индивидуальной защиты осуществляется в соответствии со статьями 220-221 Трудового кодекса Российской Федерации, Приказом Минтруда России от 29.10.2021 № 766н «Об утверждении Правил обеспечения работниками средствами индивидуальной защиты и смывающими средствами», Приказом Минтруда России от 29.10.2021 № 767н «Об утверждении Единых типовых норм выдачи средств индивидуальной защиты и смывающих средств», техническим регламентом Таможенного союза ТР ТС 019/2011 «О безопасности средств индивидуальной защиты».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8.2. С 01.01.2025 перечень СИЗ для каждой должности и профессии определяется исключительно на основе Единых типовых норм (Приказ № 767н), с учётом результатов СОУТ и оценки профессиональных рисков.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8.3. Конкретный перечень СИЗ для каждой должности утверждается приложением к настоящему Положению на основе Единых типовых норм (Приказ № 767н) с учётом результатов СОУТ и оценки профессиональных рисков. При наличии вредных факторов по результатам СОУТ (повышенный уровень шума, электромагнитные поля и др.) работникам могут дополнительно выдаваться соответствующие СИЗ (наушники, защитные экраны и т.д.).</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8.4. При работе с компьютером работникам могут выдаваться СИЗ от электромагнитного излучения (защитные экраны) при наличии соответствующих результатов СОУТ и ОПР.</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8.5. Работники, занятые на работах с вредными и (или) опасными условиями труда, а также на работах, связанных с загрязнением, обеспечиваются смывающими средствами в соответствии с Приказом № 766н.</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8.6. Выдача СИЗ работникам оформляется личными карточками учёта выдачи СИЗ установленной формы (приложение к Приказу № 766н).</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8.7. Работники обязаны правильно применять выданные СИЗ, своевременно сообщать об их износе или неисправности. Работодатель обязан обеспечить хранение, ремонт, химчистку, стирку СИЗ.</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8.8. Приобретение СИЗ осуществляется в специализированных магазинах. Закупаемые СИЗ должны иметь действующий сертификат и (или) декларацию соответствия требованиям технического регламента Таможенного союза ТР ТС 019/2011.</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8.9. Ответственность за обеспечение работников СИЗ несёт директор Организации. Контроль за правильным применением СИЗ работниками осуществляется непосредственными руководителями и специалистом по охране труда.</w:t>
      </w:r>
    </w:p>
    <w:p>
      <w:pPr>
        <w:spacing w:after="0" w:before="360" w:line="276" w:lineRule="auto"/>
        <w:jc w:val="center"/>
      </w:pPr>
      <w:r>
        <w:rPr>
          <w:rFonts w:ascii="Times New Roman" w:cs="Times New Roman" w:eastAsia="Times New Roman" w:hAnsi="Times New Roman"/>
          <w:b/>
          <w:bCs/>
          <w:color w:val="000000"/>
          <w:sz w:val="28"/>
          <w:szCs w:val="28"/>
        </w:rPr>
        <w:t xml:space="preserve">9. МОНИТОРИНГ И ОЦЕНКА ЭФФЕКТИВНОСТИ СУОТ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9.1. Мониторинг состояния условий и охраны труда в Организации осуществляется посредством:</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контроля за соблюдением требований охраны труда (административно-общественный контроль, трёхуровневый);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анализа результатов СОУТ;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анализа результатов оценки профессиональных рисков;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расследования и учёта несчастных случаев на производстве;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анализа обращений работников по вопросам охраны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анализа предписаний органов государственного надзора и контроля;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регулярного контроля эффективности функционирования отдельных элементов СУОТ и СУОТ в целом.</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9.2. Виды контроля функционирования СУОТ: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контроль состояния рабочего места, применяемого оборудования, инструментов;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контроль выполнения процессов, имеющих периодический характер (СОУТ, обучение, медицинские осмотры);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учёт и анализ несчастных случаев, профессиональных заболеваний, изменений нормативных требований;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регулярный контроль эффективности функционирования СУОТ, в том числе с использованием средств видеонаблюдения (при наличии).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9.3. Количественные показатели эффективности (KPI) СУОТ: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коэффициент частоты несчастных случаев (Кч) = (N / Чср) × 1000, где N - число несчастных случаев, Чср - среднесписочная численность работников. Целевое значение: 0 или снижение;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доля выполненных мероприятий из Плана по охране труда (%) - не менее 90 %;</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доля работников, прошедших обучение и инструктажи в установленные сроки (%) - 100 %;</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доля рабочих мест, на которых проведена СОУТ в установленные сроки (%) - 100 %;</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доля работников, обеспеченных СИЗ в соответствии с Едиными типовыми нормами (%) - 100 %;</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доля работников, прошедших обязательные медицинские осмотры в установленные сроки (%) - 100 %;</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количество выявленных нарушений по результатам контроля на одну проверку - снижение;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доля рабочих мест с классами условий труда 3.1-3.4 и 4 (%) - снижение;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затраты на охрану труда на одного работника (руб./чел. в год) - не менее 0,2 % от затрат на производство.</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9.4. Оценка эффективности СУОТ проводится директором Организации ежегодно (по итогам календарного года) и оформляется отчётом о функционировании СУОТ. По результатам оценки принимаются решения о корректировке мероприятий по охране труда, пересмотре целей в области охраны труда, перераспределении обязанностей и ресурсов.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9.5. Промежуточная оценка (ежеквартальная) проводится по ограниченному набору KPI: несчастные случаи, выполнение Плана мероприятий, своевременность обучения.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9.6. Бенчмаркинг. Рекомендуется сравнивать значения KPI Организации со средними показателями по региону и с лучшими практиками аналогичных организаций. Источники бенчмарков: ежегодные отчёты Минтруда России о состоянии условий и охраны труда; отчёты Фонда социального страхования РФ.</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9.7. Внешний аудит (независимая оценка) СУОТ. Внешний аудит СУОТ - добровольная процедура независимой оценки состояния системы управления охраной труда. Рекомендуется проводить не реже одного раза в 3 года специализированной организацией, имеющей компетенцию в области охраны труда. При проведении аудита рекомендуется руководствоваться ГОСТ Р ИСО 19011 «Руководящие указания по аудиту систем менеджмента», ГОСТ Р 54934-2012 (OHSAS 18001:2007) и международным стандартом ISO 45001:2018.</w:t>
      </w:r>
    </w:p>
    <w:p>
      <w:pPr>
        <w:spacing w:after="0" w:before="360" w:line="276" w:lineRule="auto"/>
        <w:jc w:val="center"/>
      </w:pPr>
      <w:r>
        <w:rPr>
          <w:rFonts w:ascii="Times New Roman" w:cs="Times New Roman" w:eastAsia="Times New Roman" w:hAnsi="Times New Roman"/>
          <w:b/>
          <w:bCs/>
          <w:color w:val="000000"/>
          <w:sz w:val="28"/>
          <w:szCs w:val="28"/>
        </w:rPr>
        <w:t xml:space="preserve">10. РАССЛЕДОВАНИЕ И УЧЁТ НЕСЧАСТНЫХ СЛУЧАЕВ НА ПРОИЗВОДСТВЕ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10.1. Расследование и учёт несчастных случаев на производстве проводятся в соответствии с Трудовым кодексом Российской Федерации (статьи 227-231), Постановлением Правительства Российской Федерации от 18.08.2022 № 1458 «О порядке расследования и учёта несчастных случаев на производстве и профессиональных заболеваний» и Приказом Минтруда России от 20.04.2022 № 223н «Об утверждении Положения об особенностях расследования несчастных случаев на производстве в отдельных отраслях и организациях и форм документов, связанных с расследованием и учётом несчастных случаев на производстве и профессиональных заболеваний».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10.2. О каждом несчастном случае на производстве пострадавший или очевидец обязан немедленно известить директора Организации или специалиста по охране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10.3. Директор Организации обязан:</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немедленно организовать оказание первой помощи пострадавшему и при необходимости доставку его в медицинскую организацию;</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принять меры по предотвращению развития аварийной ситуации и воздействия травмирующих факторов на других лиц;</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сохранить до начала расследования обстановку на месте происшествия, а при невозможности - зафиксировать её (составить схему, сделать фотографии, видеозапись);</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немедленно проинформировать о несчастном случае: государственную инспекцию труда в субъекте Российской Федерации; прокуратуру; исполнительный орган Фонда социального страхования Российской Федерации; администрацию муниципального образования; выборный орган первичной профсоюзной организации (при наличии);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принять иные необходимые меры по организации расследования несчастного случая в установленном порядке.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10.4. Для расследования несчастного случая директор Организации приказом формирует комиссию в составе не менее трёх человек: представитель работодателя; специалист по охране труда; представитель выборного органа первичной профсоюзной организации или иного уполномоченного работниками органа (при наличии). Лицо, непосредственно ответственное за безопасность на участке, где произошёл несчастный случай, в состав комиссии не включается.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10.5. Сроки расследования: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лёгком несчастном случае - в течение 3 календарных дней;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групповом, тяжёлом или со смертельным исходом - в течение 15 календарных дней.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10.6. При групповом несчастном случае с числом погибших 5 и более человек состав комиссии утверждается приказом соответствующего федерального органа исполнительной власти.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10.7. Результаты расследования оформляются актами по формам, утверждённым Приказом Минтруда России от 20.04.2022 № 223н (акт о несчастном случае на производстве - форма Н-1). Акт составляется в двух экземплярах на русском языке. Один экземпляр акта выдаётся пострадавшему или его доверенному лицу.</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10.8. Акты о несчастном случае на производстве и документы расследования хранятся в Организации в течение 75 лет.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10.9. Микроповреждения (микротравмы) работников также подлежат расследованию и учёту в порядке, установленном Приказом Минтруда России № 223н.</w:t>
      </w:r>
    </w:p>
    <w:p>
      <w:pPr>
        <w:spacing w:after="0" w:before="360" w:line="276" w:lineRule="auto"/>
        <w:jc w:val="center"/>
      </w:pPr>
      <w:r>
        <w:rPr>
          <w:rFonts w:ascii="Times New Roman" w:cs="Times New Roman" w:eastAsia="Times New Roman" w:hAnsi="Times New Roman"/>
          <w:b/>
          <w:bCs/>
          <w:color w:val="000000"/>
          <w:sz w:val="28"/>
          <w:szCs w:val="28"/>
        </w:rPr>
        <w:t xml:space="preserve">11. ПОРЯДОК ВНЕСЕНИЯ ИЗМЕНЕНИЙ И ПЕРЕСМОТРА ПОЛОЖЕНИЯ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11.1. Настоящее Положение пересматривается и актуализируется в следующих случаях:</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изменении законодательства в области охраны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изменении условий труда (ввод нового оборудования, изменение технологических процессов, изменение рабочих мест);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по результатам расследования несчастных случаев на производстве и профессиональных заболеваний;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по предписаниям органов государственного надзора и контроля;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по результатам оценки эффективности СУОТ;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изменении штатной структуры Организации;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изменении сферы деятельности Организации.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11.2. Изменения в Положение вносятся приказом директора Организации с учётом мнения представительного органа работников (при наличии) в порядке, установленном статьёй 372 Трудового кодекса Российской Федерации.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11.3. Изменения оформляются либо как приложение к Положению (с указанием пунктов, в которые вносятся изменения), либо как новая редакция Положения.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11.4. Работники Организации ознакамливаются с Положением и всеми изменениями к нему под подпись:</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приёме на работу - до подписания трудового договора;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внесении изменений в Положение - в течение 5 рабочих дней после утверждения изменений;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при действующих работниках - после утверждения Положения в установленный работодателем срок, но не позднее 30 календарных дней с даты утверждения.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11.5. Ознакомление оформляется листом ознакомления, прилагаемым к Положению. Лист ознакомления хранится в кадровой службе или у специалиста по охране труда. Срок хранения листа ознакомления - 75 лет.</w:t>
      </w:r>
    </w:p>
    <w:p>
      <w:pPr>
        <w:spacing w:after="0" w:before="360" w:line="276" w:lineRule="auto"/>
        <w:jc w:val="center"/>
      </w:pPr>
      <w:r>
        <w:rPr>
          <w:rFonts w:ascii="Times New Roman" w:cs="Times New Roman" w:eastAsia="Times New Roman" w:hAnsi="Times New Roman"/>
          <w:b/>
          <w:bCs/>
          <w:color w:val="000000"/>
          <w:sz w:val="28"/>
          <w:szCs w:val="28"/>
        </w:rPr>
        <w:t xml:space="preserve">12. ЗАКЛЮЧИТЕЛЬНЫЕ ПОЛОЖЕНИЯ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12.1. Настоящее Положение вступает в силу с момента его утверждения директором Организации и действует до утверждения нового Положения или внесения в него изменений в установленном порядке.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12.2. Контроль за исполнением требований настоящего Положения возлагается на директора Организации, специалиста по охране труда и руководителей структурных подразделений.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12.3. За нарушение требований настоящего Положения работники несут ответственность в порядке, установленном действующим законодательством Российской Федерации, в том числе дисциплинарную (статья 192 ТК РФ), административную (статья 5.27 КоАП РФ), уголовную (статья 143 УК РФ) и гражданско-правовую.</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12.4. Срок хранения настоящего Положения как локального нормативного акта - постоянно. Срок хранения листов ознакомления - 75 лет. Срок хранения журналов инструктажей - 10 лет (при отсутствии вредных условий) или 75 лет (при наличии вредных условий).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12.5. Положение составлено в соответствии с действующим законодательством Российской Федерации и Примерным положением о системе управления охраной труда, утверждённым Приказом Минтруда России от 29.10.2021 № 776н.</w:t>
      </w:r>
    </w:p>
    <w:p>
      <w:pPr>
        <w:spacing w:after="0" w:before="360" w:line="276" w:lineRule="auto"/>
        <w:jc w:val="center"/>
      </w:pPr>
      <w:r>
        <w:rPr>
          <w:rFonts w:ascii="Times New Roman" w:cs="Times New Roman" w:eastAsia="Times New Roman" w:hAnsi="Times New Roman"/>
          <w:b/>
          <w:bCs/>
          <w:color w:val="000000"/>
          <w:sz w:val="28"/>
          <w:szCs w:val="28"/>
        </w:rPr>
        <w:t xml:space="preserve">13. МЕДИЦИНСКИЕ ОСМОТРЫ И ПСИХИАТРИЧЕСКИЕ ОСВИДЕТЕЛЬСТВОВАНИЯ РАБОТНИКОВ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13.1. Медицинские осмотры работников проводятся в соответствии со статьями 212, 213, 214, 220 Трудового кодекса Российской Федерации; Приказом Минтруда России и Минздрава России от 31.12.2020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Приказом Минздрава России от 13.05.2021 № 29н «Об утверждении Порядка проведения обязательных предварительных и периодических медицинских осмотров работников»; Федеральным законом от 21.11.2011 № 323-ФЗ «Об основах охраны здоровья граждан в Российской Федерации».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13.2. Виды медицинских осмотров: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предварительные при поступлении на работу;</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периодические (в течение трудовой деятельности);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внеочередные (по инициативе работодателя или работника);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предрейсовые (для водителей - при наличии в штате);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послерейсовые (для водителей, работающих на пассажирском транспорте - при наличии);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психиатрические освидетельствования (для отдельных категорий работников - при наличии);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химико-токсикологические исследования (для отдельных категорий - при наличии).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13.3. Периодичность периодических медицинских осмотров - не реже одного раза в 2 года (для отдельных категорий - ежегодно).</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13.4. Работодатель формирует и утверждает списки (контингенты) работников, подлежащих предварительным и периодическим медицинским осмотрам, на основе Перечня (Приказ № 988н/1420н). Списки согласовываются с территориальным органом Роспотребнадзора.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13.5. Работодатель направляет списки в медицинскую организацию, проводящую осмотры, не позднее чем за 2 месяца до начала осмотров.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13.6. Работодатель обязан:</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организовать проведение медицинских осмотров в рабочее время с сохранением среднего заработка;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оплатить стоимость осмотров;</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обеспечить сохранение медицинской тайны;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не допускать работников к работе без прохождения обязательного медицинского осмотра.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13.7. По результатам периодического осмотра медицинская организация выдаёт заключение о пригодности работника к выполнению работы.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13.8. Результаты медицинских осмотров используются для: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допуска работника к работе (или отстранения при наличии медицинских противопоказаний);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выявления профессиональных заболеваний на ранней стадии;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корректировки перечня рабочих мест, подлежащих СОУТ;</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предоставления гарантий и компенсаций работникам с профессиональными заболеваниями.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13.9. Работодатель обязан сообщать в Роспотребнадзор о выявленных случаях профессиональных заболеваний.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13.10. Ответственность за организацию медицинских осмотров несёт директор Организации. Контроль за прохождением осмотров работниками осуществляет кадровая служба и специалист по охране труда.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13.11. Допуск работника к работе без прохождения обязательного медицинского осмотра запрещён и влечёт административную ответственность по статье 5.27.1 КоАП РФ.</w:t>
      </w:r>
    </w:p>
    <w:p>
      <w:pPr>
        <w:pageBreakBefore/>
        <w:spacing w:after="0" w:before="0" w:line="276" w:lineRule="auto"/>
        <w:jc w:val="center"/>
      </w:pPr>
      <w:r>
        <w:rPr>
          <w:rFonts w:ascii="Times New Roman" w:cs="Times New Roman" w:eastAsia="Times New Roman" w:hAnsi="Times New Roman"/>
          <w:b/>
          <w:bCs/>
          <w:color w:val="000000"/>
          <w:sz w:val="28"/>
          <w:szCs w:val="28"/>
        </w:rPr>
        <w:t xml:space="preserve">ПРИЛОЖЕНИЕ 1. ПЕРЕЧЕНЬ ИДЕНТИФИЦИРОВАННЫХ ОПАСНОСТЕЙ И МЕР ПО УПРАВЛЕНИЮ ПРОФЕССИОНАЛЬНЫМИ РИСКАМИ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Приложение содержит перечень опасностей, идентифицированных в Организации на основе результатов оценки профессиональных рисков, с указанием мер по управлению. Перечень формируется на основе Приложения № 1 к Примерному положению о СУОТ (Приказ Минтруда России № 776н) и специфики деятельности Организации.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 Опасность: Падение с высоты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Опасное событие: Травма при падении с лесов, подмостей, кровли, лестниц</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Меры управления: Применение систем страховки; ограждения; наряды-допуски; обучение; медицинское освидетельствование.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2. Опасность: Падение предметов на работающих</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Опасное событие: Травма от падения материалов, инструмента, конструкций</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Меры управления: Защитные козырьки; ограждение зон; сигнальные ленты; каски.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3. Опасность: Работа машин и механизмов (краны, экскаваторы, бульдозеры)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Опасное событие: Травма от наезда, защемления, удара</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Меры управления: Ограничение зон движения; сигнальщики; обучение машинистов; техническое обслуживание.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4. Опасность: Поражение электрическим током</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Опасное событие: Электротравма при работе с электроинструментом, кабелями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Меры управления: Защитное заземление; УЗО; изолированный инструмент; группы по электробезопасности.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5. Опасность: Контакт с химическими веществами (цемент, растворители, краски)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Опасное событие: Дерматиты, отравления, ожоги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Меры управления: СИЗ (перчатки, респираторы); вентиляция; обучение.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6. Опасность: Работа в замкнутых пространствах (колодцы, ёмкости)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Опасное событие: Отравление, удушье</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Меры управления: Наряды-допуски; газовый контроль; СИЗ органов дыхания.</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7. Опасность: Повышенный уровень шума и вибрации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Опасное событие: Шумовая тугоухость, вибрационная болезнь</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Меры управления: СИЗ органов слуха; виброгасящие рукавицы; ограничение времени работы.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8. Опасность: Пожарная опасность (сварочные работы, ГСМ)</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Опасное событие: Пожар, ожоги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 </w:t>
      </w:r>
      <w:r>
        <w:rPr>
          <w:rFonts w:ascii="Times New Roman" w:cs="Times New Roman" w:eastAsia="Times New Roman" w:hAnsi="Times New Roman"/>
          <w:b w:val="false"/>
          <w:bCs w:val="false"/>
          <w:i w:val="false"/>
          <w:iCs w:val="false"/>
          <w:color w:val="000000"/>
          <w:sz w:val="24"/>
          <w:szCs w:val="24"/>
        </w:rPr>
        <w:t xml:space="preserve">Меры управления: Огнетушители; наряды-допуски на огневые работы; контроль зоны.</w:t>
      </w:r>
    </w:p>
    <w:p>
      <w:pPr>
        <w:pageBreakBefore/>
        <w:spacing w:after="0" w:before="0" w:line="276" w:lineRule="auto"/>
        <w:jc w:val="center"/>
      </w:pPr>
      <w:r>
        <w:rPr>
          <w:rFonts w:ascii="Times New Roman" w:cs="Times New Roman" w:eastAsia="Times New Roman" w:hAnsi="Times New Roman"/>
          <w:b/>
          <w:bCs/>
          <w:color w:val="000000"/>
          <w:sz w:val="28"/>
          <w:szCs w:val="28"/>
        </w:rPr>
        <w:t xml:space="preserve">ПРИЛОЖЕНИЕ 2. ПЕРЕЧЕНЬ РАБОТ ПОВЫШЕННОЙ ОПАСНОСТИ, ВЫПОЛНЯЕМЫХ В ОРГАНИЗАЦИИ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Приложение содержит перечень работ повышенной опасности, выполняемых в Организации, с указанием порядка оформления наряда-допуска. Перечень формируется на основе Приложения № 2 к Примерному положению о СУОТ (Приказ Минтруда России № 776н) и специфики деятельности Организации.</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1. Работа на высоте (на лесах, подмостях, кровле) - наряд-допуск по Приказу № 782н.</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2. Работы в замкнутых пространствах (колодцы, тоннели) - наряд-допуск по Приказу № 902н.</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3. Земляные работы в зоне расположения подземных коммуникаций - наряд-допуск.</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4. Сварочные работы - наряд-допуск на огневые работы.</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5. Погрузочно-разгрузочные работы с применением грузоподъёмных кранов - по Приказу № 753н.</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6. Работа с электроинструментом и электроустановками - по Приказу № 903н.</w:t>
      </w:r>
    </w:p>
    <w:p>
      <w:pPr>
        <w:spacing w:after="0" w:before="0" w:line="276" w:lineRule="auto"/>
        <w:ind w:firstLine="283"/>
        <w:jc w:val="both"/>
      </w:pPr>
      <w:r>
        <w:rPr>
          <w:rFonts w:ascii="Times New Roman" w:cs="Times New Roman" w:eastAsia="Times New Roman" w:hAnsi="Times New Roman"/>
          <w:b w:val="false"/>
          <w:bCs w:val="false"/>
          <w:i w:val="false"/>
          <w:iCs w:val="false"/>
          <w:color w:val="000000"/>
          <w:sz w:val="24"/>
          <w:szCs w:val="24"/>
        </w:rPr>
        <w:t xml:space="preserve">7. Для каждой работы повышенной опасности работодатель устанавливает порядок оформления наряда-допуска, состав ответственных лиц (ответственный руководитель работ, ответственный исполнитель работ, наблюдающий), меры безопасности, средства коллективной и индивидуальной защиты.</w:t>
      </w:r>
    </w:p>
    <w:sectPr>
      <w:footerReference w:type="default" r:id="rId7"/>
      <w:type w:val="nextPage"/>
      <w:pgSz w:w="11906" w:h="16838" w:orient="portrait"/>
      <w:pgMar w:top="1134" w:right="850" w:bottom="1134" w:left="1701" w:header="708" w:footer="708" w:gutter="0"/>
      <w:pgNumType w:start="2" w:fmt="decimal"/>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000000"/>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000000"/>
        <w:sz w:val="24"/>
        <w:szCs w:val="24"/>
      </w:rPr>
    </w:rPrDefault>
    <w:pPrDefault>
      <w:pPr>
        <w:spacing w:after="0" w:before="0" w:line="276" w:lineRule="auto"/>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СУОТ - Строительная компания</dc:title>
  <dc:creator>ООО «НАИМЕНОВАНИЕ ОРГАНИЗАЦИИ»</dc:creator>
  <cp:lastModifiedBy>Un-named</cp:lastModifiedBy>
  <cp:revision>1</cp:revision>
  <dcterms:created xsi:type="dcterms:W3CDTF">2026-08-30T21:29:01.002Z</dcterms:created>
  <dcterms:modified xsi:type="dcterms:W3CDTF">2026-08-30T21:29:01.004Z</dcterms:modified>
</cp:coreProperties>
</file>

<file path=docProps/custom.xml><?xml version="1.0" encoding="utf-8"?>
<Properties xmlns="http://schemas.openxmlformats.org/officeDocument/2006/custom-properties" xmlns:vt="http://schemas.openxmlformats.org/officeDocument/2006/docPropsVTypes"/>
</file>